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4CA002E9"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3GPP TSG RAN WG</w:t>
      </w:r>
      <w:r w:rsidR="004009C7">
        <w:rPr>
          <w:rFonts w:ascii="Arial" w:hAnsi="Arial" w:cs="Arial"/>
          <w:b/>
          <w:kern w:val="2"/>
          <w:lang w:eastAsia="zh-CN"/>
        </w:rPr>
        <w:t>4</w:t>
      </w:r>
      <w:r w:rsidR="002A4B4D" w:rsidRPr="00D74B92">
        <w:rPr>
          <w:rFonts w:ascii="Arial" w:hAnsi="Arial" w:cs="Arial"/>
          <w:b/>
          <w:kern w:val="2"/>
          <w:lang w:eastAsia="zh-CN"/>
        </w:rPr>
        <w:t xml:space="preserve"> </w:t>
      </w:r>
      <w:r w:rsidR="004009C7">
        <w:rPr>
          <w:rFonts w:ascii="Arial" w:hAnsi="Arial" w:cs="Arial"/>
          <w:b/>
          <w:kern w:val="2"/>
          <w:lang w:eastAsia="zh-CN"/>
        </w:rPr>
        <w:t>Meeting #92</w:t>
      </w:r>
      <w:r w:rsidR="00972929" w:rsidRPr="00D74B92">
        <w:rPr>
          <w:rFonts w:ascii="Arial" w:hAnsi="Arial" w:cs="Arial"/>
          <w:b/>
          <w:kern w:val="2"/>
          <w:lang w:eastAsia="zh-CN"/>
        </w:rPr>
        <w:tab/>
      </w:r>
      <w:r w:rsidR="00685FD4" w:rsidRPr="00D74B92">
        <w:rPr>
          <w:rFonts w:ascii="Arial" w:hAnsi="Arial" w:cs="Arial"/>
          <w:b/>
          <w:kern w:val="2"/>
          <w:lang w:eastAsia="zh-CN"/>
        </w:rPr>
        <w:t>R</w:t>
      </w:r>
      <w:r w:rsidR="004009C7">
        <w:rPr>
          <w:rFonts w:ascii="Arial" w:hAnsi="Arial" w:cs="Arial"/>
          <w:b/>
          <w:kern w:val="2"/>
          <w:lang w:eastAsia="zh-CN"/>
        </w:rPr>
        <w:t>4</w:t>
      </w:r>
      <w:r w:rsidR="009C0564" w:rsidRPr="00D74B92">
        <w:rPr>
          <w:rFonts w:ascii="Arial" w:hAnsi="Arial" w:cs="Arial"/>
          <w:b/>
          <w:kern w:val="2"/>
          <w:lang w:eastAsia="zh-CN"/>
        </w:rPr>
        <w:t>-</w:t>
      </w:r>
      <w:r w:rsidR="00A460BF" w:rsidRPr="00D74B92">
        <w:rPr>
          <w:rFonts w:ascii="Arial" w:hAnsi="Arial" w:cs="Arial"/>
          <w:b/>
          <w:kern w:val="2"/>
          <w:lang w:eastAsia="zh-CN"/>
        </w:rPr>
        <w:t>19</w:t>
      </w:r>
      <w:r w:rsidR="004009C7">
        <w:rPr>
          <w:rFonts w:ascii="Arial" w:hAnsi="Arial" w:cs="Arial"/>
          <w:b/>
          <w:kern w:val="2"/>
          <w:lang w:eastAsia="zh-CN"/>
        </w:rPr>
        <w:t>0</w:t>
      </w:r>
      <w:r w:rsidR="00F21434">
        <w:rPr>
          <w:rFonts w:ascii="Arial" w:hAnsi="Arial" w:cs="Arial"/>
          <w:b/>
          <w:kern w:val="2"/>
          <w:lang w:eastAsia="zh-CN"/>
        </w:rPr>
        <w:t>8353</w:t>
      </w:r>
      <w:bookmarkStart w:id="0" w:name="_GoBack"/>
      <w:bookmarkEnd w:id="0"/>
    </w:p>
    <w:p w14:paraId="2A9D85E6" w14:textId="5B60483A" w:rsidR="009C0564" w:rsidRPr="007F5EC6" w:rsidRDefault="00940263" w:rsidP="00DA0712">
      <w:pPr>
        <w:jc w:val="left"/>
        <w:rPr>
          <w:rFonts w:ascii="Arial" w:hAnsi="Arial" w:cs="Arial"/>
          <w:b/>
          <w:kern w:val="2"/>
          <w:lang w:eastAsia="zh-CN"/>
        </w:rPr>
      </w:pPr>
      <w:r>
        <w:rPr>
          <w:rFonts w:ascii="Arial" w:hAnsi="Arial" w:cs="Arial"/>
          <w:b/>
          <w:kern w:val="2"/>
          <w:lang w:eastAsia="zh-CN"/>
        </w:rPr>
        <w:t>Ljubljana</w:t>
      </w:r>
      <w:r w:rsidR="00753191" w:rsidRPr="00D74B92">
        <w:rPr>
          <w:rFonts w:ascii="Arial" w:hAnsi="Arial" w:cs="Arial"/>
          <w:b/>
          <w:kern w:val="2"/>
          <w:lang w:eastAsia="zh-CN"/>
        </w:rPr>
        <w:t>,</w:t>
      </w:r>
      <w:r>
        <w:rPr>
          <w:rFonts w:ascii="Arial" w:hAnsi="Arial" w:cs="Arial"/>
          <w:b/>
          <w:kern w:val="2"/>
          <w:lang w:eastAsia="zh-CN"/>
        </w:rPr>
        <w:t xml:space="preserve"> Slovenia</w:t>
      </w:r>
      <w:r w:rsidR="00A06AAD">
        <w:rPr>
          <w:rFonts w:ascii="Arial" w:hAnsi="Arial" w:cs="Arial"/>
          <w:b/>
          <w:kern w:val="2"/>
          <w:lang w:eastAsia="zh-CN"/>
        </w:rPr>
        <w:t xml:space="preserve">, </w:t>
      </w:r>
      <w:r w:rsidR="00A06AAD" w:rsidRPr="00D74B92">
        <w:rPr>
          <w:rFonts w:ascii="Arial" w:hAnsi="Arial" w:cs="Arial"/>
          <w:b/>
          <w:kern w:val="2"/>
          <w:lang w:eastAsia="zh-CN"/>
        </w:rPr>
        <w:t>August</w:t>
      </w:r>
      <w:r w:rsidR="00F16BF2" w:rsidRPr="00D74B92">
        <w:rPr>
          <w:rFonts w:ascii="Arial" w:hAnsi="Arial" w:cs="Arial"/>
          <w:b/>
          <w:kern w:val="2"/>
          <w:lang w:eastAsia="zh-CN"/>
        </w:rPr>
        <w:t xml:space="preserve"> </w:t>
      </w:r>
      <w:r w:rsidR="00A06AAD">
        <w:rPr>
          <w:rFonts w:ascii="Arial" w:hAnsi="Arial" w:cs="Arial"/>
          <w:b/>
          <w:kern w:val="2"/>
          <w:lang w:eastAsia="zh-CN"/>
        </w:rPr>
        <w:t>26</w:t>
      </w:r>
      <w:r w:rsidR="00822944" w:rsidRPr="00D74B92">
        <w:rPr>
          <w:rFonts w:ascii="Arial" w:hAnsi="Arial" w:cs="Arial"/>
          <w:b/>
          <w:kern w:val="2"/>
          <w:lang w:eastAsia="zh-CN"/>
        </w:rPr>
        <w:t>-</w:t>
      </w:r>
      <w:r w:rsidR="00A06AAD">
        <w:rPr>
          <w:rFonts w:ascii="Arial" w:hAnsi="Arial" w:cs="Arial"/>
          <w:b/>
          <w:kern w:val="2"/>
          <w:lang w:eastAsia="zh-CN"/>
        </w:rPr>
        <w:t>30</w:t>
      </w:r>
      <w:r w:rsidR="00E07679" w:rsidRPr="00D74B92">
        <w:rPr>
          <w:rFonts w:ascii="Arial" w:hAnsi="Arial" w:cs="Arial"/>
          <w:b/>
          <w:kern w:val="2"/>
          <w:lang w:eastAsia="zh-CN"/>
        </w:rPr>
        <w:t>, 2019</w:t>
      </w:r>
    </w:p>
    <w:p w14:paraId="7826937B" w14:textId="0AC33026"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A92D27">
        <w:rPr>
          <w:rFonts w:ascii="Arial" w:hAnsi="Arial" w:cs="Arial"/>
          <w:b/>
          <w:lang w:eastAsia="zh-CN"/>
        </w:rPr>
        <w:t>9.4.3</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31215AA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84B11" w:rsidRPr="00484B11">
        <w:rPr>
          <w:rFonts w:ascii="Arial" w:hAnsi="Arial" w:cs="Arial"/>
          <w:b/>
          <w:lang w:eastAsia="zh-CN"/>
        </w:rPr>
        <w:t xml:space="preserve">NR V2X </w:t>
      </w:r>
      <w:r w:rsidR="000B4E0E">
        <w:rPr>
          <w:rFonts w:ascii="Arial" w:hAnsi="Arial" w:cs="Arial"/>
          <w:b/>
          <w:lang w:eastAsia="zh-CN"/>
        </w:rPr>
        <w:t xml:space="preserve">UE </w:t>
      </w:r>
      <w:r w:rsidR="00484B11" w:rsidRPr="00484B11">
        <w:rPr>
          <w:rFonts w:ascii="Arial" w:hAnsi="Arial" w:cs="Arial"/>
          <w:b/>
          <w:lang w:eastAsia="zh-CN"/>
        </w:rPr>
        <w:t>Transmitter Characteristics</w:t>
      </w:r>
    </w:p>
    <w:p w14:paraId="62BCD72B" w14:textId="4C651F90"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0D73BC">
        <w:rPr>
          <w:rFonts w:ascii="Arial" w:hAnsi="Arial" w:cs="Arial"/>
          <w:b/>
          <w:kern w:val="2"/>
          <w:lang w:eastAsia="zh-CN"/>
        </w:rPr>
        <w:t>Discussion</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EA95162" w14:textId="31CA309A" w:rsidR="00B87EC9" w:rsidRPr="007F5EC6" w:rsidRDefault="00484B11" w:rsidP="007F5EC6">
      <w:r w:rsidRPr="00484B11">
        <w:rPr>
          <w:lang w:eastAsia="zh-CN"/>
        </w:rPr>
        <w:t>In this contribution, we provide comparative analysis between LTE and NR UE RF transmitter requirements and V2X characteristics. Each of the NR UE RF transmitter requirements is analyzed for NR V2X operations.</w:t>
      </w:r>
    </w:p>
    <w:p w14:paraId="6DE6D3DB" w14:textId="657F6E2F" w:rsidR="0085511F" w:rsidRPr="0085511F" w:rsidRDefault="00816E9B" w:rsidP="0085511F">
      <w:pPr>
        <w:pStyle w:val="Heading1"/>
      </w:pPr>
      <w:r w:rsidRPr="00D74B92">
        <w:t>Discussion</w:t>
      </w:r>
      <w:r w:rsidR="00623A6F" w:rsidRPr="00D74B92">
        <w:t xml:space="preserve"> </w:t>
      </w:r>
      <w:bookmarkStart w:id="3" w:name="_Ref129681832"/>
      <w:r w:rsidR="0085511F">
        <w:t xml:space="preserve">on NR V2X </w:t>
      </w:r>
      <w:r w:rsidR="00DB3324">
        <w:t xml:space="preserve">UE </w:t>
      </w:r>
      <w:r w:rsidR="0085511F">
        <w:t>Transmitter Requirements</w:t>
      </w:r>
    </w:p>
    <w:p w14:paraId="4655C73D" w14:textId="207304C4" w:rsidR="00796435" w:rsidRDefault="00796435" w:rsidP="0085511F">
      <w:pPr>
        <w:pStyle w:val="Heading2"/>
      </w:pPr>
      <w:r>
        <w:t>UE maximum output power for NR V2X communication</w:t>
      </w:r>
    </w:p>
    <w:p w14:paraId="18FE8BA5" w14:textId="0E3852C2" w:rsidR="0085511F" w:rsidRDefault="00833181" w:rsidP="00387D74">
      <w:r>
        <w:t>When UE is configured with NR V2X sidelink transmission (without any other concurrent transmissions), the allowed NR V2X UE maximum output power is UE Power Class 3 of 23dBm.</w:t>
      </w:r>
    </w:p>
    <w:p w14:paraId="1832ED0F" w14:textId="77777777" w:rsidR="00833181" w:rsidRPr="00833181" w:rsidRDefault="00833181" w:rsidP="00833181">
      <w:r>
        <w:t>For LTE V2X, the simultaneous LTE V2X and LTE Uu (inter-band concurrent operation) has specified a UE Power Class 2 of 26dBm</w:t>
      </w:r>
      <w:r w:rsidRPr="00833181">
        <w:t>.  Similar such analysis should be carried for NR V2X inter-band concurrent operation. However, there are several such combinations of inter-band concurrent operation:</w:t>
      </w:r>
    </w:p>
    <w:p w14:paraId="21CB956D" w14:textId="4F2302CC" w:rsidR="00833181" w:rsidRDefault="00833181" w:rsidP="000531A9">
      <w:pPr>
        <w:pStyle w:val="ListParagraph"/>
        <w:numPr>
          <w:ilvl w:val="0"/>
          <w:numId w:val="4"/>
        </w:numPr>
        <w:rPr>
          <w:rFonts w:ascii="Times New Roman" w:hAnsi="Times New Roman"/>
        </w:rPr>
      </w:pPr>
      <w:r w:rsidRPr="00833181">
        <w:rPr>
          <w:rFonts w:ascii="Times New Roman" w:hAnsi="Times New Roman"/>
        </w:rPr>
        <w:t>NR V2</w:t>
      </w:r>
      <w:r>
        <w:rPr>
          <w:rFonts w:ascii="Times New Roman" w:hAnsi="Times New Roman"/>
        </w:rPr>
        <w:t>X and NR Uu</w:t>
      </w:r>
    </w:p>
    <w:p w14:paraId="0D2F2F3E" w14:textId="6B01CE4C" w:rsidR="00833181" w:rsidRDefault="00833181" w:rsidP="000531A9">
      <w:pPr>
        <w:pStyle w:val="ListParagraph"/>
        <w:numPr>
          <w:ilvl w:val="0"/>
          <w:numId w:val="4"/>
        </w:numPr>
        <w:rPr>
          <w:rFonts w:ascii="Times New Roman" w:hAnsi="Times New Roman"/>
        </w:rPr>
      </w:pPr>
      <w:r>
        <w:rPr>
          <w:rFonts w:ascii="Times New Roman" w:hAnsi="Times New Roman"/>
        </w:rPr>
        <w:t>NR V2X and LTE Uu</w:t>
      </w:r>
    </w:p>
    <w:p w14:paraId="3F542B0D" w14:textId="74C61172" w:rsidR="00591C73" w:rsidRDefault="00591C73" w:rsidP="000531A9">
      <w:pPr>
        <w:pStyle w:val="ListParagraph"/>
        <w:numPr>
          <w:ilvl w:val="0"/>
          <w:numId w:val="4"/>
        </w:numPr>
        <w:rPr>
          <w:rFonts w:ascii="Times New Roman" w:hAnsi="Times New Roman"/>
        </w:rPr>
      </w:pPr>
      <w:r>
        <w:rPr>
          <w:rFonts w:ascii="Times New Roman" w:hAnsi="Times New Roman"/>
        </w:rPr>
        <w:t>NR V2X and LTE V2X</w:t>
      </w:r>
    </w:p>
    <w:p w14:paraId="2E281DB9" w14:textId="053BB5DF" w:rsidR="00591C73" w:rsidRPr="00591C73" w:rsidRDefault="00591C73" w:rsidP="00591C73">
      <w:pPr>
        <w:rPr>
          <w:b/>
          <w:lang w:eastAsia="zh-CN"/>
        </w:rPr>
      </w:pPr>
      <w:r>
        <w:rPr>
          <w:b/>
          <w:lang w:eastAsia="zh-CN"/>
        </w:rPr>
        <w:t>Proposal 1</w:t>
      </w:r>
      <w:r w:rsidRPr="00591C73">
        <w:rPr>
          <w:b/>
          <w:lang w:eastAsia="zh-CN"/>
        </w:rPr>
        <w:t xml:space="preserve">: </w:t>
      </w:r>
      <w:r>
        <w:rPr>
          <w:b/>
          <w:lang w:eastAsia="zh-CN"/>
        </w:rPr>
        <w:t>In addition to defining PC3, RAN4 should discuss if PC2 should also be defined for inter-band concurrent operations of NR V2X.</w:t>
      </w:r>
      <w:r w:rsidRPr="00591C73">
        <w:rPr>
          <w:b/>
          <w:lang w:eastAsia="zh-CN"/>
        </w:rPr>
        <w:t xml:space="preserve"> </w:t>
      </w:r>
      <w:r>
        <w:rPr>
          <w:b/>
          <w:lang w:eastAsia="zh-CN"/>
        </w:rPr>
        <w:t xml:space="preserve"> Additionally, RAN4 should discuss if PC2 is applicable for any non-concurrent NR V2X transmissions </w:t>
      </w:r>
      <w:r w:rsidR="000B4E0E">
        <w:rPr>
          <w:b/>
          <w:lang w:eastAsia="zh-CN"/>
        </w:rPr>
        <w:t xml:space="preserve">for some </w:t>
      </w:r>
      <w:r>
        <w:rPr>
          <w:b/>
          <w:lang w:eastAsia="zh-CN"/>
        </w:rPr>
        <w:t>band(s).</w:t>
      </w:r>
    </w:p>
    <w:p w14:paraId="6B6618FC" w14:textId="6B5CC795" w:rsidR="00591C73" w:rsidRDefault="00591C73" w:rsidP="00387D74">
      <w:r>
        <w:t xml:space="preserve">In LTE V2X, the tolerance value and requirements are defined but only considered Band 47.  For NR V2X, the concurrent operation and combination as discussed above in ITS and licensed bands could give rise to different tolerance values.  </w:t>
      </w:r>
    </w:p>
    <w:p w14:paraId="6161A03B" w14:textId="30E022B3" w:rsidR="00591C73" w:rsidRPr="00591C73" w:rsidRDefault="00591C73" w:rsidP="00387D74">
      <w:pPr>
        <w:rPr>
          <w:b/>
        </w:rPr>
      </w:pPr>
      <w:r w:rsidRPr="00591C73">
        <w:rPr>
          <w:b/>
        </w:rPr>
        <w:t xml:space="preserve">Proposal 2:  RAN4 should study power tolerance for inter-band concurrent NR sidelink and LTE sidelink, and NR sidelink with NR/LTE Uu operations </w:t>
      </w:r>
    </w:p>
    <w:p w14:paraId="275147D8" w14:textId="77777777" w:rsidR="00DF04CE" w:rsidRDefault="00DF04CE" w:rsidP="007A10D9">
      <w:pPr>
        <w:pStyle w:val="Heading2"/>
        <w:rPr>
          <w:lang w:eastAsia="zh-CN"/>
        </w:rPr>
      </w:pPr>
      <w:r w:rsidRPr="00354D00">
        <w:rPr>
          <w:lang w:eastAsia="zh-CN"/>
        </w:rPr>
        <w:t>MPR/A-MPR</w:t>
      </w:r>
    </w:p>
    <w:p w14:paraId="743DE063" w14:textId="5880AFE9" w:rsidR="00DF04CE" w:rsidRDefault="00DF04CE" w:rsidP="00DF04CE">
      <w:pPr>
        <w:rPr>
          <w:rFonts w:eastAsia="DengXian"/>
          <w:lang w:eastAsia="zh-CN"/>
        </w:rPr>
      </w:pPr>
      <w:r>
        <w:rPr>
          <w:rFonts w:eastAsia="DengXian" w:hint="eastAsia"/>
          <w:lang w:eastAsia="zh-CN"/>
        </w:rPr>
        <w:t>For NR V2X U</w:t>
      </w:r>
      <w:r>
        <w:rPr>
          <w:rFonts w:eastAsia="DengXian"/>
          <w:lang w:eastAsia="zh-CN"/>
        </w:rPr>
        <w:t>E</w:t>
      </w:r>
      <w:r w:rsidR="001168DB">
        <w:rPr>
          <w:rFonts w:eastAsia="DengXian"/>
          <w:lang w:eastAsia="zh-CN"/>
        </w:rPr>
        <w:t>s</w:t>
      </w:r>
      <w:r>
        <w:rPr>
          <w:rFonts w:eastAsia="DengXian" w:hint="eastAsia"/>
          <w:lang w:eastAsia="zh-CN"/>
        </w:rPr>
        <w:t xml:space="preserve">, </w:t>
      </w:r>
      <w:r>
        <w:rPr>
          <w:rFonts w:eastAsia="DengXian"/>
          <w:lang w:eastAsia="zh-CN"/>
        </w:rPr>
        <w:t>MPR should be based on the modulation and RB allocations and A-MPR should be set according to the coexistence study. MPR and A-MPR study can be delayed until the operating bands and channel bandwidths for NR V2X are determined.</w:t>
      </w:r>
    </w:p>
    <w:p w14:paraId="04D63BA4" w14:textId="4B9BF668" w:rsidR="00DF04CE" w:rsidRPr="00BC7C08" w:rsidRDefault="00DF04CE" w:rsidP="00DF04CE">
      <w:pPr>
        <w:rPr>
          <w:rFonts w:eastAsia="DengXian"/>
          <w:b/>
          <w:lang w:eastAsia="zh-CN"/>
        </w:rPr>
      </w:pPr>
      <w:r w:rsidRPr="002F41DA">
        <w:rPr>
          <w:rFonts w:eastAsia="DengXian"/>
          <w:b/>
          <w:lang w:eastAsia="zh-CN"/>
        </w:rPr>
        <w:t xml:space="preserve">Proposal </w:t>
      </w:r>
      <w:r w:rsidR="00A121B3">
        <w:rPr>
          <w:rFonts w:eastAsia="DengXian"/>
          <w:b/>
          <w:lang w:eastAsia="zh-CN"/>
        </w:rPr>
        <w:t>3</w:t>
      </w:r>
      <w:r w:rsidRPr="002F41DA">
        <w:rPr>
          <w:rFonts w:eastAsia="DengXian"/>
          <w:b/>
          <w:lang w:eastAsia="zh-CN"/>
        </w:rPr>
        <w:t>: MPR/A-MPR can be studied after the operating bands and channel bandwidths for NR V2X are determined.</w:t>
      </w:r>
    </w:p>
    <w:p w14:paraId="40F0B92D" w14:textId="1024F827" w:rsidR="0085511F" w:rsidRPr="001D0100" w:rsidRDefault="007A10D9" w:rsidP="007A10D9">
      <w:pPr>
        <w:pStyle w:val="Heading2"/>
        <w:rPr>
          <w:lang w:eastAsia="zh-CN"/>
        </w:rPr>
      </w:pPr>
      <w:r>
        <w:rPr>
          <w:lang w:eastAsia="zh-CN"/>
        </w:rPr>
        <w:t>Output Power D</w:t>
      </w:r>
      <w:r w:rsidR="0085511F" w:rsidRPr="001D0100">
        <w:rPr>
          <w:lang w:eastAsia="zh-CN"/>
        </w:rPr>
        <w:t>ynamics</w:t>
      </w:r>
    </w:p>
    <w:p w14:paraId="73273A65" w14:textId="67517627" w:rsidR="00A121B3" w:rsidRDefault="00A121B3" w:rsidP="0085511F">
      <w:pPr>
        <w:rPr>
          <w:rFonts w:eastAsia="DengXian"/>
          <w:lang w:eastAsia="zh-CN"/>
        </w:rPr>
      </w:pPr>
      <w:r>
        <w:rPr>
          <w:rFonts w:eastAsia="DengXian"/>
          <w:lang w:eastAsia="zh-CN"/>
        </w:rPr>
        <w:t xml:space="preserve">In TDM operation, the switching time require careful evaluation. The switching </w:t>
      </w:r>
      <w:r w:rsidR="00A8454C">
        <w:rPr>
          <w:rFonts w:eastAsia="DengXian"/>
          <w:lang w:eastAsia="zh-CN"/>
        </w:rPr>
        <w:t xml:space="preserve">time between NR sidelink and LTE sidelink, and </w:t>
      </w:r>
      <w:r w:rsidR="00ED192E">
        <w:rPr>
          <w:rFonts w:eastAsia="DengXian"/>
          <w:lang w:eastAsia="zh-CN"/>
        </w:rPr>
        <w:t>also</w:t>
      </w:r>
      <w:r w:rsidR="00A8454C">
        <w:rPr>
          <w:rFonts w:eastAsia="DengXian"/>
          <w:lang w:eastAsia="zh-CN"/>
        </w:rPr>
        <w:t xml:space="preserve"> s</w:t>
      </w:r>
      <w:r>
        <w:rPr>
          <w:rFonts w:eastAsia="DengXian"/>
          <w:lang w:eastAsia="zh-CN"/>
        </w:rPr>
        <w:t xml:space="preserve">witching operation between </w:t>
      </w:r>
      <w:r w:rsidR="00A8454C">
        <w:rPr>
          <w:rFonts w:eastAsia="DengXian"/>
          <w:lang w:eastAsia="zh-CN"/>
        </w:rPr>
        <w:t>NR sidelink and</w:t>
      </w:r>
      <w:r>
        <w:rPr>
          <w:rFonts w:eastAsia="DengXian"/>
          <w:lang w:eastAsia="zh-CN"/>
        </w:rPr>
        <w:t xml:space="preserve"> NR </w:t>
      </w:r>
      <w:r w:rsidR="00A8454C">
        <w:rPr>
          <w:rFonts w:eastAsia="DengXian"/>
          <w:lang w:eastAsia="zh-CN"/>
        </w:rPr>
        <w:t xml:space="preserve">Uu should be carefully evaluated.  </w:t>
      </w:r>
    </w:p>
    <w:p w14:paraId="0671BBBE" w14:textId="22637AFF" w:rsidR="00A8454C" w:rsidRDefault="00A8454C" w:rsidP="0085511F">
      <w:pPr>
        <w:rPr>
          <w:rFonts w:eastAsia="DengXian"/>
          <w:lang w:eastAsia="zh-CN"/>
        </w:rPr>
      </w:pPr>
      <w:r>
        <w:rPr>
          <w:rFonts w:eastAsia="DengXian"/>
          <w:lang w:eastAsia="zh-CN"/>
        </w:rPr>
        <w:t>For NR Uu case, the specification defines</w:t>
      </w:r>
      <w:r w:rsidR="00ED192E">
        <w:rPr>
          <w:rFonts w:eastAsia="DengXian"/>
          <w:lang w:eastAsia="zh-CN"/>
        </w:rPr>
        <w:t xml:space="preserve"> [1</w:t>
      </w:r>
      <w:r w:rsidR="001168DB">
        <w:rPr>
          <w:rFonts w:eastAsia="DengXian"/>
          <w:lang w:eastAsia="zh-CN"/>
        </w:rPr>
        <w:t>]:</w:t>
      </w:r>
    </w:p>
    <w:p w14:paraId="51732185" w14:textId="77777777" w:rsidR="00A8454C" w:rsidRPr="00764BD2" w:rsidRDefault="00A8454C" w:rsidP="00A8454C">
      <w:r w:rsidRPr="00764BD2">
        <w:t>The general ON/OFF time mask defines the observation period between transmit OFF and ON power and between transmit ON and OFF power for each SCS. ON/OFF scenarios include; the beginning or end of DTX, measurement gap, contiguous, and non-contiguous transmission, etc</w:t>
      </w:r>
    </w:p>
    <w:p w14:paraId="48D9D51E" w14:textId="77777777" w:rsidR="00A8454C" w:rsidRPr="00764BD2" w:rsidRDefault="00A8454C" w:rsidP="00A8454C">
      <w:r w:rsidRPr="00764BD2">
        <w:lastRenderedPageBreak/>
        <w:t>The OFF power measurement period is defined in a duration of at least one slot excluding any transient periods. The ON power is defined as the mean power over one slot excluding any transient period.</w:t>
      </w:r>
    </w:p>
    <w:p w14:paraId="67D1B11E" w14:textId="77777777" w:rsidR="00A8454C" w:rsidRPr="00764BD2" w:rsidRDefault="00A8454C" w:rsidP="00A8454C">
      <w:pPr>
        <w:pStyle w:val="TH"/>
        <w:rPr>
          <w:noProof/>
          <w:lang w:val="sv-SE"/>
        </w:rPr>
      </w:pPr>
      <w:r w:rsidRPr="00764BD2">
        <w:rPr>
          <w:noProof/>
          <w:lang w:val="en-US" w:eastAsia="en-US"/>
        </w:rPr>
        <w:drawing>
          <wp:inline distT="0" distB="0" distL="0" distR="0" wp14:anchorId="6B0159D7" wp14:editId="2DE07D20">
            <wp:extent cx="6122670" cy="1470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22670" cy="1470660"/>
                    </a:xfrm>
                    <a:prstGeom prst="rect">
                      <a:avLst/>
                    </a:prstGeom>
                    <a:noFill/>
                    <a:ln w="9525">
                      <a:noFill/>
                      <a:miter lim="800000"/>
                      <a:headEnd/>
                      <a:tailEnd/>
                    </a:ln>
                  </pic:spPr>
                </pic:pic>
              </a:graphicData>
            </a:graphic>
          </wp:inline>
        </w:drawing>
      </w:r>
    </w:p>
    <w:p w14:paraId="0072DC1E" w14:textId="7BF5743C" w:rsidR="00A8454C" w:rsidRDefault="00A8454C" w:rsidP="00A8454C">
      <w:pPr>
        <w:jc w:val="center"/>
        <w:rPr>
          <w:rFonts w:eastAsia="DengXian"/>
          <w:lang w:eastAsia="zh-CN"/>
        </w:rPr>
      </w:pPr>
      <w:r w:rsidRPr="00764BD2">
        <w:t>General ON/OFF time mask for NR UL transmission in FR1</w:t>
      </w:r>
    </w:p>
    <w:p w14:paraId="5D9D450E" w14:textId="5D724B8C" w:rsidR="00A8454C" w:rsidRPr="00764BD2" w:rsidRDefault="00A8454C" w:rsidP="00A8454C">
      <w:r w:rsidRPr="00764BD2">
        <w:t>The general ON/OFF time mask defines the observation period between transmit OFF and ON power and between transmit ON and OFF power for each SCS. ON/OFF scenarios include; the beginning or end of DTX, measurement gap, contiguous, and non-contiguous transmission, etc</w:t>
      </w:r>
      <w:r w:rsidR="001168DB">
        <w:t>.</w:t>
      </w:r>
    </w:p>
    <w:p w14:paraId="6DFCBF06" w14:textId="4090194B" w:rsidR="0085511F" w:rsidRPr="001D0100" w:rsidRDefault="0085511F" w:rsidP="0085511F">
      <w:pPr>
        <w:rPr>
          <w:rFonts w:eastAsia="DengXian"/>
          <w:lang w:eastAsia="zh-CN"/>
        </w:rPr>
      </w:pPr>
      <w:r w:rsidRPr="001D0100">
        <w:rPr>
          <w:rFonts w:eastAsia="DengXian"/>
          <w:lang w:eastAsia="zh-CN"/>
        </w:rPr>
        <w:t>Both minimum output power and transmit OFF power for NR SA can be reused for NR V2X since there is no other considerations for these requirements.</w:t>
      </w:r>
    </w:p>
    <w:p w14:paraId="0D821568" w14:textId="49BA1477" w:rsidR="0085511F" w:rsidRPr="00A37029" w:rsidRDefault="0085511F" w:rsidP="0085511F">
      <w:pPr>
        <w:rPr>
          <w:rFonts w:eastAsia="DengXian"/>
          <w:b/>
          <w:lang w:eastAsia="zh-CN"/>
        </w:rPr>
      </w:pPr>
      <w:r w:rsidRPr="00A37029">
        <w:rPr>
          <w:rFonts w:eastAsia="DengXian"/>
          <w:b/>
          <w:lang w:eastAsia="zh-CN"/>
        </w:rPr>
        <w:t xml:space="preserve">Proposal </w:t>
      </w:r>
      <w:r w:rsidR="00A8454C">
        <w:rPr>
          <w:rFonts w:eastAsia="DengXian"/>
          <w:b/>
          <w:lang w:eastAsia="zh-CN"/>
        </w:rPr>
        <w:t>4</w:t>
      </w:r>
      <w:r w:rsidRPr="00A37029">
        <w:rPr>
          <w:rFonts w:eastAsia="DengXian"/>
          <w:b/>
          <w:lang w:eastAsia="zh-CN"/>
        </w:rPr>
        <w:t xml:space="preserve">: </w:t>
      </w:r>
      <w:r w:rsidR="00A8454C">
        <w:rPr>
          <w:rFonts w:eastAsia="DengXian"/>
          <w:b/>
          <w:lang w:eastAsia="zh-CN"/>
        </w:rPr>
        <w:t>The switching time and ON/OFF</w:t>
      </w:r>
      <w:r w:rsidRPr="00A37029">
        <w:rPr>
          <w:rFonts w:eastAsia="DengXian"/>
          <w:b/>
          <w:lang w:eastAsia="zh-CN"/>
        </w:rPr>
        <w:t xml:space="preserve"> time mask </w:t>
      </w:r>
      <w:r w:rsidR="00A8454C">
        <w:rPr>
          <w:rFonts w:eastAsia="DengXian"/>
          <w:b/>
          <w:lang w:eastAsia="zh-CN"/>
        </w:rPr>
        <w:t>needs to be evaluated considering various switching operations.</w:t>
      </w:r>
    </w:p>
    <w:p w14:paraId="18B94AA5" w14:textId="4F262795" w:rsidR="00157FC3" w:rsidRPr="00493C77" w:rsidRDefault="00747F48" w:rsidP="00493C77">
      <w:pPr>
        <w:pStyle w:val="Heading1"/>
      </w:pPr>
      <w:r w:rsidRPr="00493C77">
        <w:t>Conclusion</w:t>
      </w:r>
      <w:r w:rsidR="006B1FD5" w:rsidRPr="00493C77">
        <w:t>s</w:t>
      </w:r>
    </w:p>
    <w:p w14:paraId="1A35C1AE" w14:textId="3D80CA14" w:rsidR="002A0348" w:rsidRPr="007F5EC6" w:rsidRDefault="00246F24" w:rsidP="002D4171">
      <w:r w:rsidRPr="007F5EC6">
        <w:t>This contributions</w:t>
      </w:r>
      <w:r w:rsidR="00ED192E">
        <w:t xml:space="preserve"> presents some</w:t>
      </w:r>
      <w:r w:rsidRPr="007F5EC6">
        <w:t xml:space="preserve"> </w:t>
      </w:r>
      <w:r w:rsidR="00ED192E" w:rsidRPr="00484B11">
        <w:rPr>
          <w:lang w:eastAsia="zh-CN"/>
        </w:rPr>
        <w:t>comparative analysis between LTE and NR UE RF transmitter requirements and V2X characteristics</w:t>
      </w:r>
      <w:r w:rsidR="00ED192E">
        <w:rPr>
          <w:lang w:eastAsia="zh-CN"/>
        </w:rPr>
        <w:t>,</w:t>
      </w:r>
      <w:r w:rsidR="00ED192E" w:rsidRPr="007F5EC6">
        <w:t xml:space="preserve"> </w:t>
      </w:r>
      <w:r w:rsidR="002A0348" w:rsidRPr="007F5EC6">
        <w:t>and proposal as follows:</w:t>
      </w:r>
    </w:p>
    <w:p w14:paraId="783B3ED4" w14:textId="77777777" w:rsidR="00ED192E" w:rsidRPr="00591C73" w:rsidRDefault="00ED192E" w:rsidP="00ED192E">
      <w:pPr>
        <w:rPr>
          <w:b/>
          <w:lang w:eastAsia="zh-CN"/>
        </w:rPr>
      </w:pPr>
      <w:r>
        <w:rPr>
          <w:b/>
          <w:lang w:eastAsia="zh-CN"/>
        </w:rPr>
        <w:t>Proposal 1</w:t>
      </w:r>
      <w:r w:rsidRPr="00591C73">
        <w:rPr>
          <w:b/>
          <w:lang w:eastAsia="zh-CN"/>
        </w:rPr>
        <w:t xml:space="preserve">: </w:t>
      </w:r>
      <w:r>
        <w:rPr>
          <w:b/>
          <w:lang w:eastAsia="zh-CN"/>
        </w:rPr>
        <w:t>In addition to defining PC3, RAN4 should discuss if PC2 should also be defined for inter-band concurrent operations of NR V2X.</w:t>
      </w:r>
      <w:r w:rsidRPr="00591C73">
        <w:rPr>
          <w:b/>
          <w:lang w:eastAsia="zh-CN"/>
        </w:rPr>
        <w:t xml:space="preserve"> </w:t>
      </w:r>
      <w:r>
        <w:rPr>
          <w:b/>
          <w:lang w:eastAsia="zh-CN"/>
        </w:rPr>
        <w:t xml:space="preserve"> Additionally, RAN4 should discuss if PC2 is applicable for any non-concurrent NR V2X transmissions for some band(s).</w:t>
      </w:r>
    </w:p>
    <w:p w14:paraId="028A8FFF" w14:textId="77777777" w:rsidR="00ED192E" w:rsidRPr="00591C73" w:rsidRDefault="00ED192E" w:rsidP="00ED192E">
      <w:pPr>
        <w:rPr>
          <w:b/>
        </w:rPr>
      </w:pPr>
      <w:r w:rsidRPr="00591C73">
        <w:rPr>
          <w:b/>
        </w:rPr>
        <w:t xml:space="preserve">Proposal 2:  RAN4 should study power tolerance for inter-band concurrent NR sidelink and LTE sidelink, and NR sidelink with NR/LTE Uu operations </w:t>
      </w:r>
    </w:p>
    <w:p w14:paraId="03DDB36A" w14:textId="77777777" w:rsidR="00ED192E" w:rsidRPr="00BC7C08" w:rsidRDefault="00ED192E" w:rsidP="00ED192E">
      <w:pPr>
        <w:rPr>
          <w:rFonts w:eastAsia="DengXian"/>
          <w:b/>
          <w:lang w:eastAsia="zh-CN"/>
        </w:rPr>
      </w:pPr>
      <w:r w:rsidRPr="002F41DA">
        <w:rPr>
          <w:rFonts w:eastAsia="DengXian"/>
          <w:b/>
          <w:lang w:eastAsia="zh-CN"/>
        </w:rPr>
        <w:t xml:space="preserve">Proposal </w:t>
      </w:r>
      <w:r>
        <w:rPr>
          <w:rFonts w:eastAsia="DengXian"/>
          <w:b/>
          <w:lang w:eastAsia="zh-CN"/>
        </w:rPr>
        <w:t>3</w:t>
      </w:r>
      <w:r w:rsidRPr="002F41DA">
        <w:rPr>
          <w:rFonts w:eastAsia="DengXian"/>
          <w:b/>
          <w:lang w:eastAsia="zh-CN"/>
        </w:rPr>
        <w:t>: MPR/A-MPR can be studied after the operating bands and channel bandwidths for NR V2X are determined.</w:t>
      </w:r>
    </w:p>
    <w:p w14:paraId="77D9AAF9" w14:textId="77777777" w:rsidR="00ED192E" w:rsidRPr="00A37029" w:rsidRDefault="00ED192E" w:rsidP="00ED192E">
      <w:pPr>
        <w:rPr>
          <w:rFonts w:eastAsia="DengXian"/>
          <w:b/>
          <w:lang w:eastAsia="zh-CN"/>
        </w:rPr>
      </w:pPr>
      <w:r w:rsidRPr="00A37029">
        <w:rPr>
          <w:rFonts w:eastAsia="DengXian"/>
          <w:b/>
          <w:lang w:eastAsia="zh-CN"/>
        </w:rPr>
        <w:t xml:space="preserve">Proposal </w:t>
      </w:r>
      <w:r>
        <w:rPr>
          <w:rFonts w:eastAsia="DengXian"/>
          <w:b/>
          <w:lang w:eastAsia="zh-CN"/>
        </w:rPr>
        <w:t>4</w:t>
      </w:r>
      <w:r w:rsidRPr="00A37029">
        <w:rPr>
          <w:rFonts w:eastAsia="DengXian"/>
          <w:b/>
          <w:lang w:eastAsia="zh-CN"/>
        </w:rPr>
        <w:t xml:space="preserve">: </w:t>
      </w:r>
      <w:r>
        <w:rPr>
          <w:rFonts w:eastAsia="DengXian"/>
          <w:b/>
          <w:lang w:eastAsia="zh-CN"/>
        </w:rPr>
        <w:t>The switching time and ON/OFF</w:t>
      </w:r>
      <w:r w:rsidRPr="00A37029">
        <w:rPr>
          <w:rFonts w:eastAsia="DengXian"/>
          <w:b/>
          <w:lang w:eastAsia="zh-CN"/>
        </w:rPr>
        <w:t xml:space="preserve"> time mask </w:t>
      </w:r>
      <w:r>
        <w:rPr>
          <w:rFonts w:eastAsia="DengXian"/>
          <w:b/>
          <w:lang w:eastAsia="zh-CN"/>
        </w:rPr>
        <w:t>needs to be evaluated considering various switching operations.</w:t>
      </w:r>
    </w:p>
    <w:p w14:paraId="317C4076" w14:textId="4E482C34" w:rsidR="0021120F" w:rsidRPr="007F5EC6" w:rsidRDefault="0021120F"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367CF0F0" w14:textId="32D55C01" w:rsidR="00F62478" w:rsidRPr="007F5EC6" w:rsidRDefault="00E870A9" w:rsidP="00ED192E">
      <w:pPr>
        <w:pStyle w:val="References"/>
      </w:pPr>
      <w:bookmarkStart w:id="7" w:name="_Ref6583376"/>
      <w:bookmarkStart w:id="8" w:name="_Ref167612875"/>
      <w:bookmarkStart w:id="9" w:name="_Ref167612671"/>
      <w:bookmarkEnd w:id="4"/>
      <w:bookmarkEnd w:id="5"/>
      <w:bookmarkEnd w:id="6"/>
      <w:r w:rsidRPr="007F5EC6">
        <w:t xml:space="preserve">TS </w:t>
      </w:r>
      <w:bookmarkEnd w:id="3"/>
      <w:bookmarkEnd w:id="7"/>
      <w:bookmarkEnd w:id="8"/>
      <w:bookmarkEnd w:id="9"/>
      <w:r w:rsidR="00ED192E" w:rsidRPr="00ED192E">
        <w:t>38.101-1 NR User Equipment (UE) radio transmission and reception; Part 1: Range 1  Standalone</w:t>
      </w:r>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B413E" w14:textId="77777777" w:rsidR="00D3251B" w:rsidRDefault="00D3251B">
      <w:r>
        <w:separator/>
      </w:r>
    </w:p>
  </w:endnote>
  <w:endnote w:type="continuationSeparator" w:id="0">
    <w:p w14:paraId="6296B4E7" w14:textId="77777777" w:rsidR="00D3251B" w:rsidRDefault="00D32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F9E6A" w14:textId="77777777" w:rsidR="00D3251B" w:rsidRDefault="00D3251B">
      <w:r>
        <w:separator/>
      </w:r>
    </w:p>
  </w:footnote>
  <w:footnote w:type="continuationSeparator" w:id="0">
    <w:p w14:paraId="6CE909B4" w14:textId="77777777" w:rsidR="00D3251B" w:rsidRDefault="00D325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75FDA"/>
    <w:multiLevelType w:val="hybridMultilevel"/>
    <w:tmpl w:val="B9AC69BC"/>
    <w:lvl w:ilvl="0" w:tplc="BB8EE2F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31A9"/>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4E0E"/>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D73BC"/>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8DB"/>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D74"/>
    <w:rsid w:val="00390017"/>
    <w:rsid w:val="003901A3"/>
    <w:rsid w:val="0039072F"/>
    <w:rsid w:val="00390EC7"/>
    <w:rsid w:val="003919F6"/>
    <w:rsid w:val="0039218D"/>
    <w:rsid w:val="00392B93"/>
    <w:rsid w:val="003940CE"/>
    <w:rsid w:val="00394739"/>
    <w:rsid w:val="00394DF2"/>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09C7"/>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27E97"/>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4B11"/>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3"/>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3366"/>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96435"/>
    <w:rsid w:val="007A0BC2"/>
    <w:rsid w:val="007A10D9"/>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3181"/>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1F"/>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39A4"/>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263"/>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AAD"/>
    <w:rsid w:val="00A06E12"/>
    <w:rsid w:val="00A0703A"/>
    <w:rsid w:val="00A07A48"/>
    <w:rsid w:val="00A108EE"/>
    <w:rsid w:val="00A10BB8"/>
    <w:rsid w:val="00A11C08"/>
    <w:rsid w:val="00A11F8C"/>
    <w:rsid w:val="00A1200D"/>
    <w:rsid w:val="00A121B3"/>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54C"/>
    <w:rsid w:val="00A8479C"/>
    <w:rsid w:val="00A8557B"/>
    <w:rsid w:val="00A855A6"/>
    <w:rsid w:val="00A85A05"/>
    <w:rsid w:val="00A85D99"/>
    <w:rsid w:val="00A86800"/>
    <w:rsid w:val="00A86D63"/>
    <w:rsid w:val="00A87797"/>
    <w:rsid w:val="00A90165"/>
    <w:rsid w:val="00A90E72"/>
    <w:rsid w:val="00A92286"/>
    <w:rsid w:val="00A922A2"/>
    <w:rsid w:val="00A92D27"/>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51B"/>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324"/>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CE"/>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192E"/>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434"/>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H">
    <w:name w:val="TH"/>
    <w:basedOn w:val="Normal"/>
    <w:link w:val="THChar"/>
    <w:rsid w:val="00DF04CE"/>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rsid w:val="00DF04CE"/>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200E09-9258-484F-9C05-9E29E0AC3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639</Words>
  <Characters>3645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Siva Subramani</cp:lastModifiedBy>
  <cp:revision>12</cp:revision>
  <cp:lastPrinted>2007-06-18T22:08:00Z</cp:lastPrinted>
  <dcterms:created xsi:type="dcterms:W3CDTF">2019-07-23T19:22:00Z</dcterms:created>
  <dcterms:modified xsi:type="dcterms:W3CDTF">2019-08-15T15:14:00Z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